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D6" w:rsidRPr="00270637" w:rsidRDefault="00CA1CD6" w:rsidP="00CA1CD6">
      <w:pPr>
        <w:shd w:val="clear" w:color="auto" w:fill="FFFFFF"/>
        <w:spacing w:after="0" w:line="356" w:lineRule="atLeast"/>
        <w:jc w:val="center"/>
        <w:outlineLvl w:val="0"/>
        <w:rPr>
          <w:rFonts w:ascii="Times New Roman" w:eastAsia="Times New Roman" w:hAnsi="Times New Roman" w:cs="Times New Roman"/>
          <w:b/>
          <w:bCs/>
          <w:kern w:val="36"/>
          <w:sz w:val="28"/>
          <w:szCs w:val="28"/>
        </w:rPr>
      </w:pPr>
      <w:bookmarkStart w:id="0" w:name="_GoBack"/>
      <w:r w:rsidRPr="00270637">
        <w:rPr>
          <w:rFonts w:ascii="Times New Roman" w:eastAsia="Times New Roman" w:hAnsi="Times New Roman" w:cs="Times New Roman"/>
          <w:b/>
          <w:bCs/>
          <w:kern w:val="36"/>
          <w:sz w:val="28"/>
          <w:szCs w:val="28"/>
        </w:rPr>
        <w:t>Кто имеет право на обращение в арбитражный суд?</w:t>
      </w:r>
    </w:p>
    <w:bookmarkEnd w:id="0"/>
    <w:p w:rsidR="00CA1CD6" w:rsidRPr="001351BB" w:rsidRDefault="00CA1CD6" w:rsidP="00CA1CD6">
      <w:pPr>
        <w:shd w:val="clear" w:color="auto" w:fill="FFFFFF"/>
        <w:spacing w:after="0" w:line="356" w:lineRule="atLeast"/>
        <w:jc w:val="center"/>
        <w:outlineLvl w:val="0"/>
        <w:rPr>
          <w:rFonts w:ascii="Times New Roman" w:eastAsia="Times New Roman" w:hAnsi="Times New Roman" w:cs="Times New Roman"/>
          <w:bCs/>
          <w:kern w:val="36"/>
          <w:sz w:val="28"/>
          <w:szCs w:val="28"/>
        </w:rPr>
      </w:pP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статьей 4 Арбитражного процессуального кодекса Российской Федерации (далее АПК РФ).</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В случаях, предусмотренных настоящим Кодексом, в арбитражный суд вправе обратиться и иные лица.</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Отказ от права на обращение в суд недействителен.</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Обращение в арбитражный суд осуществляется в форме:</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искового заявления - по экономическим спорам и иным делам, возникающим из гражданских правоотношений;</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законом или договором.</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 xml:space="preserve">Соблюдения досудебного порядка урегулирования спора не требуется по делам об установлении фактов, имеющих юридическое значение, делам о </w:t>
      </w:r>
      <w:r w:rsidRPr="00EE2E8E">
        <w:rPr>
          <w:color w:val="000000"/>
          <w:sz w:val="28"/>
          <w:szCs w:val="28"/>
        </w:rPr>
        <w:lastRenderedPageBreak/>
        <w:t>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(статьи 52, 53 настоящего Кодекса).</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По соглашению сторон относящийся к компетенции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CA1CD6" w:rsidRPr="00EE2E8E" w:rsidRDefault="00CA1CD6" w:rsidP="00CA1CD6">
      <w:pPr>
        <w:pStyle w:val="rtejustify"/>
        <w:shd w:val="clear" w:color="auto" w:fill="FFFFFF"/>
        <w:spacing w:before="120" w:beforeAutospacing="0" w:after="120" w:afterAutospacing="0"/>
        <w:jc w:val="both"/>
        <w:rPr>
          <w:color w:val="000000"/>
          <w:sz w:val="28"/>
          <w:szCs w:val="28"/>
        </w:rPr>
      </w:pPr>
      <w:r w:rsidRPr="00EE2E8E">
        <w:rPr>
          <w:color w:val="000000"/>
          <w:sz w:val="28"/>
          <w:szCs w:val="28"/>
        </w:rPr>
        <w:t>Стороны после обращения в арбитражный суд вправе использовать примирительные процедуры для урегулирования спора.</w:t>
      </w:r>
    </w:p>
    <w:p w:rsidR="00CA1CD6" w:rsidRPr="00407673" w:rsidRDefault="00CA1CD6" w:rsidP="00CA1CD6">
      <w:pPr>
        <w:shd w:val="clear" w:color="auto" w:fill="FFFFFF"/>
        <w:spacing w:after="0" w:line="356" w:lineRule="atLeast"/>
        <w:jc w:val="center"/>
        <w:outlineLvl w:val="0"/>
        <w:rPr>
          <w:rFonts w:ascii="Times New Roman" w:eastAsia="Times New Roman" w:hAnsi="Times New Roman" w:cs="Times New Roman"/>
          <w:bCs/>
          <w:kern w:val="36"/>
          <w:sz w:val="28"/>
          <w:szCs w:val="28"/>
        </w:rPr>
      </w:pPr>
      <w:r w:rsidRPr="001351BB">
        <w:rPr>
          <w:rFonts w:ascii="Times New Roman" w:eastAsia="Times New Roman" w:hAnsi="Times New Roman" w:cs="Times New Roman"/>
          <w:bCs/>
          <w:kern w:val="36"/>
          <w:sz w:val="28"/>
          <w:szCs w:val="28"/>
        </w:rPr>
        <w:t>прокуратура Октябрьского района</w:t>
      </w:r>
    </w:p>
    <w:p w:rsidR="008C5FDC" w:rsidRDefault="008C5FDC"/>
    <w:sectPr w:rsidR="008C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D6"/>
    <w:rsid w:val="008C5FDC"/>
    <w:rsid w:val="00CA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0996-770D-4F59-8275-0F539BFD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CD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A1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2020-07-07T01:28:00Z</dcterms:created>
  <dcterms:modified xsi:type="dcterms:W3CDTF">2020-07-07T01:28:00Z</dcterms:modified>
</cp:coreProperties>
</file>